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1DD1" w14:textId="77777777" w:rsidR="00F852B6" w:rsidRPr="00415716" w:rsidRDefault="0059504F">
      <w:pPr>
        <w:rPr>
          <w:rFonts w:asciiTheme="minorHAnsi" w:hAnsiTheme="minorHAnsi" w:cstheme="minorHAnsi"/>
          <w:b/>
          <w:bCs/>
        </w:rPr>
      </w:pPr>
      <w:r w:rsidRPr="00415716">
        <w:rPr>
          <w:rFonts w:asciiTheme="minorHAnsi" w:hAnsiTheme="minorHAnsi" w:cstheme="minorHAnsi"/>
          <w:b/>
          <w:bCs/>
        </w:rPr>
        <w:t xml:space="preserve">Message from </w:t>
      </w:r>
      <w:proofErr w:type="spellStart"/>
      <w:r w:rsidRPr="00415716">
        <w:rPr>
          <w:rFonts w:asciiTheme="minorHAnsi" w:hAnsiTheme="minorHAnsi" w:cstheme="minorHAnsi"/>
          <w:b/>
          <w:bCs/>
        </w:rPr>
        <w:t>Jnetics</w:t>
      </w:r>
      <w:bookmarkStart w:id="0" w:name="_GoBack"/>
      <w:bookmarkEnd w:id="0"/>
      <w:proofErr w:type="spellEnd"/>
    </w:p>
    <w:p w14:paraId="0832D643" w14:textId="77777777" w:rsidR="0059504F" w:rsidRDefault="0059504F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9504F" w14:paraId="3922A521" w14:textId="77777777" w:rsidTr="0059504F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9504F" w14:paraId="036DEAB1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504F" w14:paraId="1CFBDE5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9504F" w14:paraId="25CCCCB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59504F" w14:paraId="744813E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21527B12" w14:textId="77777777" w:rsidR="0059504F" w:rsidRDefault="005950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bidi="ar-SA"/>
                                      </w:rPr>
                                      <w:drawing>
                                        <wp:inline distT="0" distB="0" distL="0" distR="0" wp14:anchorId="7A9A412A" wp14:editId="0AC2DB93">
                                          <wp:extent cx="4289425" cy="1170940"/>
                                          <wp:effectExtent l="0" t="0" r="0" b="0"/>
                                          <wp:docPr id="7" name="Picture 7" descr="https://gallery.mailchimp.com/720e3beb9eac1aa3e56d7ca2b/images/f640cdcc-9a61-494c-8394-87d7941846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720e3beb9eac1aa3e56d7ca2b/images/f640cdcc-9a61-494c-8394-87d7941846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89425" cy="1170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C2FEE11" w14:textId="77777777" w:rsidR="0059504F" w:rsidRDefault="005950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D6F182" w14:textId="77777777" w:rsidR="0059504F" w:rsidRDefault="0059504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8CBE51" w14:textId="77777777" w:rsidR="0059504F" w:rsidRDefault="005950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AD143CC" w14:textId="77777777" w:rsidR="0059504F" w:rsidRDefault="005950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504F" w14:paraId="21A8F699" w14:textId="77777777" w:rsidTr="0059504F">
        <w:trPr>
          <w:jc w:val="center"/>
        </w:trPr>
        <w:tc>
          <w:tcPr>
            <w:tcW w:w="0" w:type="auto"/>
            <w:tcBorders>
              <w:top w:val="threeDEngrave" w:sz="6" w:space="0" w:color="418FDE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45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3"/>
            </w:tblGrid>
            <w:tr w:rsidR="0059504F" w14:paraId="3B09F688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3"/>
                  </w:tblGrid>
                  <w:tr w:rsidR="0059504F" w14:paraId="1CE0BD3A" w14:textId="77777777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59504F" w14:paraId="13F672BB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59504F" w14:paraId="1CE1642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125A96D" w14:textId="77777777" w:rsidR="0059504F" w:rsidRDefault="005950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  <w:lang w:bidi="ar-SA"/>
                                      </w:rPr>
                                      <w:drawing>
                                        <wp:inline distT="0" distB="0" distL="0" distR="0" wp14:anchorId="706E5EDB" wp14:editId="5539EA33">
                                          <wp:extent cx="5716905" cy="1901190"/>
                                          <wp:effectExtent l="0" t="0" r="0" b="3810"/>
                                          <wp:docPr id="6" name="Picture 6" descr="https://mcusercontent.com/720e3beb9eac1aa3e56d7ca2b/images/b86e1594-9f61-46ca-9c15-594e7de184fc.jpg">
                                            <a:hlinkClick xmlns:a="http://schemas.openxmlformats.org/drawingml/2006/main" r:id="rId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720e3beb9eac1aa3e56d7ca2b/images/b86e1594-9f61-46ca-9c15-594e7de184f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6905" cy="1901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DCD31A6" w14:textId="77777777" w:rsidR="0059504F" w:rsidRDefault="005950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9C1B5A" w14:textId="77777777" w:rsidR="0059504F" w:rsidRDefault="0059504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59504F" w14:paraId="74223FD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rightFromText="-9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59504F" w:rsidRPr="002030F0" w14:paraId="388BA517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59504F" w:rsidRPr="002030F0" w14:paraId="3056682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FD242B8" w14:textId="77777777" w:rsidR="0059504F" w:rsidRPr="002030F0" w:rsidRDefault="0059504F">
                                          <w:pPr>
                                            <w:spacing w:line="300" w:lineRule="auto"/>
                                            <w:rPr>
                                              <w:rFonts w:ascii="Tahoma" w:hAnsi="Tahoma" w:cs="Tahoma"/>
                                              <w:color w:val="012169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030F0">
                                            <w:rPr>
                                              <w:rFonts w:ascii="Tahoma" w:hAnsi="Tahoma" w:cs="Tahoma"/>
                                              <w:color w:val="012169"/>
                                              <w:sz w:val="22"/>
                                              <w:szCs w:val="22"/>
                                            </w:rPr>
                                            <w:t>We hope that you have seen details of </w:t>
                                          </w:r>
                                          <w:proofErr w:type="spellStart"/>
                                          <w:r w:rsidRPr="002030F0">
                                            <w:rPr>
                                              <w:rFonts w:ascii="Tahoma" w:hAnsi="Tahoma" w:cs="Tahoma"/>
                                              <w:color w:val="012169"/>
                                              <w:sz w:val="22"/>
                                              <w:szCs w:val="22"/>
                                            </w:rPr>
                                            <w:fldChar w:fldCharType="begin"/>
                                          </w:r>
                                          <w:r w:rsidRPr="002030F0">
                                            <w:rPr>
                                              <w:rFonts w:ascii="Tahoma" w:hAnsi="Tahoma" w:cs="Tahoma"/>
                                              <w:color w:val="012169"/>
                                              <w:sz w:val="22"/>
                                              <w:szCs w:val="22"/>
                                            </w:rPr>
                                            <w:instrText xml:space="preserve"> HYPERLINK "https://jnetics.us11.list-manage.com/track/click?u=720e3beb9eac1aa3e56d7ca2b&amp;id=bb63bc1855&amp;e=5bd3a707ab" \t "_blank" </w:instrText>
                                          </w:r>
                                          <w:r w:rsidRPr="002030F0">
                                            <w:rPr>
                                              <w:rFonts w:ascii="Tahoma" w:hAnsi="Tahoma" w:cs="Tahoma"/>
                                              <w:color w:val="012169"/>
                                              <w:sz w:val="22"/>
                                              <w:szCs w:val="22"/>
                                            </w:rPr>
                                            <w:fldChar w:fldCharType="separate"/>
                                          </w:r>
                                          <w:r w:rsidRPr="002030F0"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FF9F38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GENEuary</w:t>
                                          </w:r>
                                          <w:proofErr w:type="spellEnd"/>
                                          <w:r w:rsidRPr="002030F0"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FF9F38"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, Jewish Genetics Awareness Month, January 2021</w:t>
                                          </w:r>
                                          <w:r w:rsidRPr="002030F0">
                                            <w:rPr>
                                              <w:rFonts w:ascii="Tahoma" w:hAnsi="Tahoma" w:cs="Tahoma"/>
                                              <w:color w:val="012169"/>
                                              <w:sz w:val="22"/>
                                              <w:szCs w:val="22"/>
                                            </w:rPr>
                                            <w:fldChar w:fldCharType="end"/>
                                          </w:r>
                                          <w:r w:rsidRPr="002030F0">
                                            <w:rPr>
                                              <w:rFonts w:ascii="Tahoma" w:hAnsi="Tahoma" w:cs="Tahoma"/>
                                              <w:color w:val="012169"/>
                                              <w:sz w:val="22"/>
                                              <w:szCs w:val="22"/>
                                            </w:rPr>
                                            <w:t> in the press and on social media. </w:t>
                                          </w:r>
                                          <w:proofErr w:type="spellStart"/>
                                          <w:r w:rsidRPr="002030F0">
                                            <w:rPr>
                                              <w:rFonts w:ascii="Tahoma" w:hAnsi="Tahoma" w:cs="Tahoma"/>
                                              <w:color w:val="012169"/>
                                              <w:sz w:val="22"/>
                                              <w:szCs w:val="22"/>
                                            </w:rPr>
                                            <w:t>GENEuary</w:t>
                                          </w:r>
                                          <w:proofErr w:type="spellEnd"/>
                                          <w:r w:rsidRPr="002030F0">
                                            <w:rPr>
                                              <w:rFonts w:ascii="Tahoma" w:hAnsi="Tahoma" w:cs="Tahoma"/>
                                              <w:color w:val="012169"/>
                                              <w:sz w:val="22"/>
                                              <w:szCs w:val="22"/>
                                            </w:rPr>
                                            <w:t xml:space="preserve"> is a brand-new month-long campaign, designed to raise awareness of recessive genetic disorders and the importance of carrier screening. So in the spirit of </w:t>
                                          </w:r>
                                          <w:proofErr w:type="spellStart"/>
                                          <w:r w:rsidRPr="002030F0">
                                            <w:rPr>
                                              <w:rFonts w:ascii="Tahoma" w:hAnsi="Tahoma" w:cs="Tahoma"/>
                                              <w:color w:val="012169"/>
                                              <w:sz w:val="22"/>
                                              <w:szCs w:val="22"/>
                                            </w:rPr>
                                            <w:t>GENEuary</w:t>
                                          </w:r>
                                          <w:proofErr w:type="spellEnd"/>
                                          <w:r w:rsidRPr="002030F0">
                                            <w:rPr>
                                              <w:rFonts w:ascii="Tahoma" w:hAnsi="Tahoma" w:cs="Tahoma"/>
                                              <w:color w:val="012169"/>
                                              <w:sz w:val="22"/>
                                              <w:szCs w:val="22"/>
                                            </w:rPr>
                                            <w:t xml:space="preserve">, please share information about our work and screening with anyone you think may benefit.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DE796A8" w14:textId="77777777" w:rsidR="0059504F" w:rsidRPr="002030F0" w:rsidRDefault="0059504F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493926" w14:textId="77777777" w:rsidR="0059504F" w:rsidRDefault="005950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F72D09" w14:textId="77777777" w:rsidR="0059504F" w:rsidRDefault="0059504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59504F" w14:paraId="402C803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8997"/>
                              </w:tblGrid>
                              <w:tr w:rsidR="0059504F" w14:paraId="4194849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58792B5" w14:textId="77777777" w:rsidR="0059504F" w:rsidRDefault="0059504F"/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7"/>
                                    </w:tblGrid>
                                    <w:tr w:rsidR="0059504F" w14:paraId="2626FE0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F9F38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11"/>
                                          </w:tblGrid>
                                          <w:tr w:rsidR="0059504F" w14:paraId="3CCAA13D" w14:textId="7777777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ashed" w:sz="18" w:space="0" w:color="auto"/>
                                                  <w:left w:val="dashed" w:sz="18" w:space="0" w:color="auto"/>
                                                  <w:bottom w:val="dashed" w:sz="18" w:space="0" w:color="auto"/>
                                                  <w:right w:val="dashed" w:sz="18" w:space="0" w:color="auto"/>
                                                </w:tcBorders>
                                                <w:shd w:val="clear" w:color="auto" w:fill="FF9F38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3D13D477" w14:textId="77777777" w:rsidR="0059504F" w:rsidRDefault="0059504F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01216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 w:cs="Helvetica"/>
                                                    <w:color w:val="012169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During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 w:cs="Helvetica"/>
                                                    <w:color w:val="012169"/>
                                                    <w:sz w:val="26"/>
                                                    <w:szCs w:val="26"/>
                                                  </w:rPr>
                                                  <w:t>GENEuary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 w:cs="Helvetica"/>
                                                    <w:color w:val="012169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 we are offering a 20% discount to anyone who books their screening appointment at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Helvetica"/>
                                                      <w:color w:val="418FDE"/>
                                                      <w:sz w:val="26"/>
                                                      <w:szCs w:val="26"/>
                                                    </w:rPr>
                                                    <w:t>www.jnetics.org/screening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 w:cs="Helvetica"/>
                                                    <w:color w:val="012169"/>
                                                    <w:sz w:val="26"/>
                                                    <w:szCs w:val="26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01216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49869FE" w14:textId="77777777" w:rsidR="0059504F" w:rsidRDefault="0059504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EC3AB2" w14:textId="77777777" w:rsidR="0059504F" w:rsidRDefault="0059504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AEC0EF" w14:textId="77777777" w:rsidR="0059504F" w:rsidRDefault="0059504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40A843" w14:textId="77777777" w:rsidR="0059504F" w:rsidRDefault="0059504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3"/>
                        </w:tblGrid>
                        <w:tr w:rsidR="0059504F" w14:paraId="5182FD90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rightFromText="-9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59504F" w14:paraId="080A88B0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59504F" w14:paraId="509EC53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983CEBB" w14:textId="77777777" w:rsidR="0059504F" w:rsidRPr="0059504F" w:rsidRDefault="0059504F">
                                          <w:pPr>
                                            <w:pStyle w:val="Heading3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59504F">
                                            <w:rPr>
                                              <w:rFonts w:eastAsia="Times New Roman"/>
                                            </w:rPr>
                                            <w:t xml:space="preserve">From all of us at </w:t>
                                          </w:r>
                                          <w:proofErr w:type="spellStart"/>
                                          <w:r w:rsidRPr="0059504F">
                                            <w:rPr>
                                              <w:rFonts w:eastAsia="Times New Roman"/>
                                            </w:rPr>
                                            <w:t>Jnetics</w:t>
                                          </w:r>
                                          <w:proofErr w:type="spellEnd"/>
                                          <w:r w:rsidRPr="0059504F">
                                            <w:rPr>
                                              <w:rFonts w:eastAsia="Times New Roman"/>
                                            </w:rPr>
                                            <w:t>,</w:t>
                                          </w:r>
                                          <w:r w:rsidRPr="0059504F"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stay safe and healthy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6006408" w14:textId="77777777" w:rsidR="0059504F" w:rsidRDefault="0059504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2A6C21" w14:textId="77777777" w:rsidR="0059504F" w:rsidRDefault="005950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9504F" w14:paraId="09FA8B4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14:paraId="29465368" w14:textId="77777777" w:rsidR="0059504F" w:rsidRDefault="0059504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BF16F6" w14:textId="77777777" w:rsidR="0059504F" w:rsidRDefault="0059504F"/>
                    </w:tc>
                  </w:tr>
                </w:tbl>
                <w:p w14:paraId="74C8163C" w14:textId="77777777" w:rsidR="0059504F" w:rsidRDefault="005950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8438744" w14:textId="77777777" w:rsidR="0059504F" w:rsidRDefault="005950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A091C94" w14:textId="77777777" w:rsidR="0059504F" w:rsidRDefault="0059504F" w:rsidP="002030F0"/>
    <w:sectPr w:rsidR="00595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F"/>
    <w:rsid w:val="00066576"/>
    <w:rsid w:val="000B011B"/>
    <w:rsid w:val="00130EEB"/>
    <w:rsid w:val="002030F0"/>
    <w:rsid w:val="00274347"/>
    <w:rsid w:val="00415716"/>
    <w:rsid w:val="005418EF"/>
    <w:rsid w:val="0059504F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AB9E"/>
  <w15:chartTrackingRefBased/>
  <w15:docId w15:val="{A022E1EF-C859-4D15-8E66-553D4621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 w:bidi="he-IL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9504F"/>
    <w:pPr>
      <w:spacing w:line="360" w:lineRule="auto"/>
      <w:outlineLvl w:val="2"/>
    </w:pPr>
    <w:rPr>
      <w:rFonts w:ascii="Tahoma" w:hAnsi="Tahoma" w:cs="Tahoma"/>
      <w:b/>
      <w:bCs/>
      <w:color w:val="01216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9504F"/>
    <w:rPr>
      <w:rFonts w:ascii="Tahoma" w:hAnsi="Tahoma" w:cs="Tahoma"/>
      <w:b/>
      <w:bCs/>
      <w:color w:val="012169"/>
      <w:sz w:val="36"/>
      <w:szCs w:val="36"/>
      <w:lang w:eastAsia="en-GB" w:bidi="he-IL"/>
    </w:rPr>
  </w:style>
  <w:style w:type="character" w:styleId="Hyperlink">
    <w:name w:val="Hyperlink"/>
    <w:basedOn w:val="DefaultParagraphFont"/>
    <w:uiPriority w:val="99"/>
    <w:semiHidden/>
    <w:unhideWhenUsed/>
    <w:rsid w:val="005950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5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netics.us11.list-manage.com/track/click?u=720e3beb9eac1aa3e56d7ca2b&amp;id=789e21d987&amp;e=5bd3a707ab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jnetics.us11.list-manage.com/track/click?u=720e3beb9eac1aa3e56d7ca2b&amp;id=d3abde5b6f&amp;e=5bd3a707ab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A427E-66B2-4DC0-9DB8-273BCAC32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5735A-7501-4233-B9F6-0E3E7D291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5FC60-5D75-427D-BDE1-F9C9865B0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4</cp:revision>
  <dcterms:created xsi:type="dcterms:W3CDTF">2021-01-21T16:08:00Z</dcterms:created>
  <dcterms:modified xsi:type="dcterms:W3CDTF">2021-01-22T09:48:00Z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